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8E417D" w:rsidP="0026289F">
      <w:pPr>
        <w:jc w:val="both"/>
        <w:rPr>
          <w:rFonts w:asciiTheme="minorHAnsi" w:hAnsiTheme="minorHAnsi"/>
          <w:b/>
          <w:bCs/>
          <w:sz w:val="24"/>
          <w:szCs w:val="24"/>
        </w:rPr>
      </w:pPr>
      <w:r w:rsidRPr="008E417D">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A5611B" w:rsidRPr="00FE2CEC" w:rsidTr="00E76131">
        <w:trPr>
          <w:cnfStyle w:val="100000000000"/>
          <w:trHeight w:val="575"/>
        </w:trPr>
        <w:tc>
          <w:tcPr>
            <w:cnfStyle w:val="001000000000"/>
            <w:tcW w:w="4219" w:type="dxa"/>
          </w:tcPr>
          <w:p w:rsidR="00A5611B" w:rsidRPr="00FE2CEC" w:rsidRDefault="003D2B37"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Nombre de</w:t>
            </w:r>
            <w:r w:rsidR="00A261B0" w:rsidRPr="00FE2CEC">
              <w:rPr>
                <w:rFonts w:asciiTheme="minorHAnsi" w:hAnsiTheme="minorHAnsi"/>
                <w:color w:val="000000" w:themeColor="text1"/>
                <w:sz w:val="24"/>
                <w:szCs w:val="24"/>
              </w:rPr>
              <w:t>l Indicador</w:t>
            </w:r>
          </w:p>
        </w:tc>
        <w:tc>
          <w:tcPr>
            <w:tcW w:w="6379" w:type="dxa"/>
          </w:tcPr>
          <w:p w:rsidR="0072291C" w:rsidRPr="00FE2CEC" w:rsidRDefault="00D21A01" w:rsidP="00797529">
            <w:pPr>
              <w:autoSpaceDE w:val="0"/>
              <w:autoSpaceDN w:val="0"/>
              <w:adjustRightInd w:val="0"/>
              <w:cnfStyle w:val="100000000000"/>
              <w:rPr>
                <w:rFonts w:asciiTheme="minorHAnsi" w:hAnsiTheme="minorHAnsi"/>
                <w:b w:val="0"/>
                <w:sz w:val="24"/>
                <w:szCs w:val="24"/>
                <w:lang w:val="es-CL"/>
              </w:rPr>
            </w:pPr>
            <w:r w:rsidRPr="00797529">
              <w:rPr>
                <w:rFonts w:asciiTheme="minorHAnsi" w:hAnsiTheme="minorHAnsi" w:cs="Helvetica"/>
                <w:b w:val="0"/>
                <w:bCs w:val="0"/>
                <w:color w:val="000000"/>
                <w:sz w:val="20"/>
              </w:rPr>
              <w:t>Tasa Bruta de Natalidad</w:t>
            </w:r>
            <w:r w:rsidR="008477ED">
              <w:rPr>
                <w:rFonts w:asciiTheme="minorHAnsi" w:hAnsiTheme="minorHAnsi" w:cs="Helvetica"/>
                <w:b w:val="0"/>
                <w:bCs w:val="0"/>
                <w:color w:val="000000"/>
                <w:sz w:val="20"/>
              </w:rPr>
              <w:t xml:space="preserve"> </w:t>
            </w:r>
          </w:p>
        </w:tc>
      </w:tr>
      <w:tr w:rsidR="00D1209C" w:rsidRPr="00FE2CEC" w:rsidTr="00E76131">
        <w:trPr>
          <w:cnfStyle w:val="000000100000"/>
          <w:trHeight w:val="575"/>
        </w:trPr>
        <w:tc>
          <w:tcPr>
            <w:cnfStyle w:val="001000000000"/>
            <w:tcW w:w="4219" w:type="dxa"/>
          </w:tcPr>
          <w:p w:rsidR="00D1209C" w:rsidRPr="00FE2CEC" w:rsidRDefault="00D1209C"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Operación Estadística</w:t>
            </w:r>
          </w:p>
        </w:tc>
        <w:tc>
          <w:tcPr>
            <w:tcW w:w="6379" w:type="dxa"/>
          </w:tcPr>
          <w:p w:rsidR="00D1209C" w:rsidRPr="00797529" w:rsidRDefault="003A766E" w:rsidP="002237B5">
            <w:pPr>
              <w:autoSpaceDE w:val="0"/>
              <w:autoSpaceDN w:val="0"/>
              <w:adjustRightInd w:val="0"/>
              <w:jc w:val="both"/>
              <w:cnfStyle w:val="000000100000"/>
              <w:rPr>
                <w:rFonts w:ascii="Times New Roman" w:eastAsiaTheme="minorHAnsi" w:hAnsi="Times New Roman"/>
                <w:sz w:val="24"/>
                <w:szCs w:val="24"/>
              </w:rPr>
            </w:pPr>
            <w:r>
              <w:rPr>
                <w:rFonts w:asciiTheme="minorHAnsi" w:hAnsiTheme="minorHAnsi" w:cstheme="minorHAnsi"/>
                <w:color w:val="000000"/>
                <w:sz w:val="20"/>
              </w:rPr>
              <w:t>Registro Administrativo</w:t>
            </w:r>
          </w:p>
        </w:tc>
      </w:tr>
      <w:tr w:rsidR="000E71D9" w:rsidRPr="00FE2CEC" w:rsidTr="00E76131">
        <w:trPr>
          <w:cnfStyle w:val="000000010000"/>
          <w:trHeight w:val="575"/>
        </w:trPr>
        <w:tc>
          <w:tcPr>
            <w:cnfStyle w:val="001000000000"/>
            <w:tcW w:w="4219" w:type="dxa"/>
          </w:tcPr>
          <w:p w:rsidR="000E71D9" w:rsidRPr="00FE2CEC" w:rsidRDefault="00A44B73"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Definición del Indicador</w:t>
            </w:r>
          </w:p>
        </w:tc>
        <w:tc>
          <w:tcPr>
            <w:tcW w:w="6379" w:type="dxa"/>
          </w:tcPr>
          <w:p w:rsidR="000E71D9" w:rsidRPr="00407275" w:rsidRDefault="00407275" w:rsidP="00407275">
            <w:pPr>
              <w:autoSpaceDE w:val="0"/>
              <w:autoSpaceDN w:val="0"/>
              <w:adjustRightInd w:val="0"/>
              <w:jc w:val="both"/>
              <w:cnfStyle w:val="000000010000"/>
              <w:rPr>
                <w:rFonts w:asciiTheme="minorHAnsi" w:hAnsiTheme="minorHAnsi" w:cstheme="minorHAnsi"/>
                <w:color w:val="000000" w:themeColor="text1"/>
                <w:sz w:val="20"/>
                <w:lang w:val="es-CL"/>
              </w:rPr>
            </w:pPr>
            <w:r w:rsidRPr="00407275">
              <w:rPr>
                <w:rFonts w:asciiTheme="minorHAnsi" w:hAnsiTheme="minorHAnsi" w:cstheme="minorHAnsi"/>
                <w:color w:val="000000"/>
                <w:sz w:val="20"/>
              </w:rPr>
              <w:t>Representa la frecuencia con que ocu</w:t>
            </w:r>
            <w:r w:rsidRPr="00407275">
              <w:rPr>
                <w:rFonts w:asciiTheme="minorHAnsi" w:hAnsiTheme="minorHAnsi" w:cstheme="minorHAnsi"/>
                <w:color w:val="000000"/>
                <w:sz w:val="20"/>
              </w:rPr>
              <w:softHyphen/>
              <w:t>rren los nacimientos en una población. Se calcula divi</w:t>
            </w:r>
            <w:r>
              <w:rPr>
                <w:rFonts w:asciiTheme="minorHAnsi" w:hAnsiTheme="minorHAnsi" w:cstheme="minorHAnsi"/>
                <w:color w:val="000000"/>
                <w:sz w:val="20"/>
              </w:rPr>
              <w:t>diendo el número de na</w:t>
            </w:r>
            <w:r>
              <w:rPr>
                <w:rFonts w:asciiTheme="minorHAnsi" w:hAnsiTheme="minorHAnsi" w:cstheme="minorHAnsi"/>
                <w:color w:val="000000"/>
                <w:sz w:val="20"/>
              </w:rPr>
              <w:softHyphen/>
              <w:t>cidos vivos, sucedido</w:t>
            </w:r>
            <w:r w:rsidRPr="00407275">
              <w:rPr>
                <w:rFonts w:asciiTheme="minorHAnsi" w:hAnsiTheme="minorHAnsi" w:cstheme="minorHAnsi"/>
                <w:color w:val="000000"/>
                <w:sz w:val="20"/>
              </w:rPr>
              <w:t>s en un periodo, generalmente de un año, por la po</w:t>
            </w:r>
            <w:r w:rsidRPr="00407275">
              <w:rPr>
                <w:rFonts w:asciiTheme="minorHAnsi" w:hAnsiTheme="minorHAnsi" w:cstheme="minorHAnsi"/>
                <w:color w:val="000000"/>
                <w:sz w:val="20"/>
              </w:rPr>
              <w:softHyphen/>
              <w:t>blación total estimada a mitad del periodo (población media). El resultado se expresa por 1.000 personas.</w:t>
            </w:r>
          </w:p>
        </w:tc>
      </w:tr>
      <w:tr w:rsidR="00FC47BC" w:rsidRPr="00FE2CEC" w:rsidTr="00E76131">
        <w:trPr>
          <w:cnfStyle w:val="000000100000"/>
          <w:trHeight w:val="575"/>
        </w:trPr>
        <w:tc>
          <w:tcPr>
            <w:cnfStyle w:val="001000000000"/>
            <w:tcW w:w="4219" w:type="dxa"/>
          </w:tcPr>
          <w:p w:rsidR="00FC47B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Unidad de Medida</w:t>
            </w:r>
          </w:p>
        </w:tc>
        <w:tc>
          <w:tcPr>
            <w:tcW w:w="6379" w:type="dxa"/>
          </w:tcPr>
          <w:p w:rsidR="00FC47BC" w:rsidRPr="00163765" w:rsidRDefault="00E736FC" w:rsidP="0026289F">
            <w:pPr>
              <w:jc w:val="both"/>
              <w:cnfStyle w:val="000000100000"/>
              <w:rPr>
                <w:rFonts w:cs="Arial"/>
                <w:sz w:val="20"/>
              </w:rPr>
            </w:pPr>
            <w:r w:rsidRPr="00163765">
              <w:rPr>
                <w:rFonts w:ascii="Calibri" w:hAnsi="Calibri"/>
                <w:bCs/>
                <w:sz w:val="20"/>
                <w:lang w:val="es-CL"/>
              </w:rPr>
              <w:t>Tasa</w:t>
            </w:r>
          </w:p>
        </w:tc>
      </w:tr>
      <w:tr w:rsidR="00280F9C" w:rsidRPr="00FE2CEC" w:rsidTr="00E76131">
        <w:trPr>
          <w:cnfStyle w:val="000000010000"/>
          <w:trHeight w:val="575"/>
        </w:trPr>
        <w:tc>
          <w:tcPr>
            <w:cnfStyle w:val="001000000000"/>
            <w:tcW w:w="4219" w:type="dxa"/>
          </w:tcPr>
          <w:p w:rsidR="00280F9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Fórmula de Cálculo del Indicador</w:t>
            </w:r>
          </w:p>
        </w:tc>
        <w:tc>
          <w:tcPr>
            <w:tcW w:w="6379" w:type="dxa"/>
          </w:tcPr>
          <w:p w:rsidR="00280F9C" w:rsidRPr="000D6243" w:rsidRDefault="003671B6" w:rsidP="0026289F">
            <w:pPr>
              <w:jc w:val="both"/>
              <w:cnfStyle w:val="000000010000"/>
              <w:rPr>
                <w:rFonts w:ascii="Calibri" w:hAnsi="Calibri"/>
                <w:noProof/>
                <w:sz w:val="20"/>
                <w:u w:val="single"/>
                <w:lang w:val="en-US" w:eastAsia="es-EC"/>
              </w:rPr>
            </w:pPr>
            <w:r w:rsidRPr="000D6243">
              <w:rPr>
                <w:rFonts w:ascii="Calibri" w:hAnsi="Calibri"/>
                <w:noProof/>
                <w:sz w:val="20"/>
                <w:lang w:val="en-US" w:eastAsia="es-EC"/>
              </w:rPr>
              <w:t>TBN</w:t>
            </w:r>
            <w:r w:rsidR="003E71BA" w:rsidRPr="000D6243">
              <w:rPr>
                <w:rFonts w:ascii="Calibri" w:hAnsi="Calibri"/>
                <w:noProof/>
                <w:sz w:val="20"/>
                <w:vertAlign w:val="superscript"/>
                <w:lang w:val="en-US" w:eastAsia="es-EC"/>
              </w:rPr>
              <w:t>t</w:t>
            </w:r>
            <w:r w:rsidRPr="000D6243">
              <w:rPr>
                <w:rFonts w:ascii="Calibri" w:hAnsi="Calibri"/>
                <w:noProof/>
                <w:sz w:val="20"/>
                <w:lang w:val="en-US" w:eastAsia="es-EC"/>
              </w:rPr>
              <w:t xml:space="preserve">= </w:t>
            </w:r>
            <w:r w:rsidRPr="000D6243">
              <w:rPr>
                <w:rFonts w:ascii="Calibri" w:hAnsi="Calibri"/>
                <w:noProof/>
                <w:sz w:val="20"/>
                <w:u w:val="single"/>
                <w:lang w:val="en-US" w:eastAsia="es-EC"/>
              </w:rPr>
              <w:t>N</w:t>
            </w:r>
            <w:r w:rsidR="00BF799A">
              <w:rPr>
                <w:rFonts w:ascii="Calibri" w:hAnsi="Calibri"/>
                <w:noProof/>
                <w:sz w:val="20"/>
                <w:u w:val="single"/>
                <w:lang w:val="en-US" w:eastAsia="es-EC"/>
              </w:rPr>
              <w:t>V</w:t>
            </w:r>
            <w:r w:rsidR="003E71BA" w:rsidRPr="000D6243">
              <w:rPr>
                <w:rFonts w:ascii="Calibri" w:hAnsi="Calibri"/>
                <w:noProof/>
                <w:sz w:val="20"/>
                <w:u w:val="single"/>
                <w:vertAlign w:val="superscript"/>
                <w:lang w:val="en-US" w:eastAsia="es-EC"/>
              </w:rPr>
              <w:t>t</w:t>
            </w:r>
            <w:r w:rsidR="000D6243" w:rsidRPr="000D6243">
              <w:rPr>
                <w:rFonts w:ascii="Calibri" w:hAnsi="Calibri"/>
                <w:noProof/>
                <w:sz w:val="20"/>
                <w:u w:val="single"/>
                <w:lang w:val="en-US" w:eastAsia="es-EC"/>
              </w:rPr>
              <w:t xml:space="preserve">   </w:t>
            </w:r>
            <w:r w:rsidR="000D6243" w:rsidRPr="000D6243">
              <w:rPr>
                <w:rFonts w:ascii="Calibri" w:hAnsi="Calibri"/>
                <w:noProof/>
                <w:sz w:val="20"/>
                <w:lang w:val="en-US" w:eastAsia="es-EC"/>
              </w:rPr>
              <w:t xml:space="preserve">     </w:t>
            </w:r>
            <w:r w:rsidR="000D6243">
              <w:rPr>
                <w:rFonts w:ascii="Calibri" w:hAnsi="Calibri"/>
                <w:noProof/>
                <w:sz w:val="20"/>
                <w:lang w:val="en-US" w:eastAsia="es-EC"/>
              </w:rPr>
              <w:t xml:space="preserve">   </w:t>
            </w:r>
            <w:r w:rsidR="000D6243" w:rsidRPr="000D6243">
              <w:rPr>
                <w:rFonts w:ascii="Calibri" w:hAnsi="Calibri"/>
                <w:noProof/>
                <w:sz w:val="20"/>
                <w:lang w:val="en-US" w:eastAsia="es-EC"/>
              </w:rPr>
              <w:t xml:space="preserve"> x  1.000</w:t>
            </w:r>
          </w:p>
          <w:p w:rsidR="003671B6" w:rsidRPr="000D6243" w:rsidRDefault="003671B6" w:rsidP="0026289F">
            <w:pPr>
              <w:jc w:val="both"/>
              <w:cnfStyle w:val="000000010000"/>
              <w:rPr>
                <w:rFonts w:ascii="Calibri" w:hAnsi="Calibri"/>
                <w:sz w:val="20"/>
                <w:vertAlign w:val="superscript"/>
                <w:lang w:val="en-US"/>
              </w:rPr>
            </w:pPr>
            <w:r w:rsidRPr="000D6243">
              <w:rPr>
                <w:rFonts w:asciiTheme="minorHAnsi" w:hAnsiTheme="minorHAnsi"/>
                <w:sz w:val="20"/>
                <w:lang w:val="en-US"/>
              </w:rPr>
              <w:t xml:space="preserve">          </w:t>
            </w:r>
            <w:r w:rsidR="000D6243">
              <w:rPr>
                <w:rFonts w:asciiTheme="minorHAnsi" w:hAnsiTheme="minorHAnsi"/>
                <w:sz w:val="20"/>
                <w:lang w:val="en-US"/>
              </w:rPr>
              <w:t xml:space="preserve">  </w:t>
            </w:r>
            <w:r w:rsidR="000D6243" w:rsidRPr="000D6243">
              <w:rPr>
                <w:rFonts w:asciiTheme="minorHAnsi" w:hAnsiTheme="minorHAnsi"/>
                <w:sz w:val="20"/>
                <w:lang w:val="en-US"/>
              </w:rPr>
              <w:t>P</w:t>
            </w:r>
            <w:r w:rsidRPr="000D6243">
              <w:rPr>
                <w:rFonts w:ascii="Calibri" w:hAnsi="Calibri"/>
                <w:sz w:val="20"/>
                <w:vertAlign w:val="superscript"/>
                <w:lang w:val="en-US"/>
              </w:rPr>
              <w:t>30-Jun-</w:t>
            </w:r>
            <w:r w:rsidR="003E71BA" w:rsidRPr="000D6243">
              <w:rPr>
                <w:rFonts w:ascii="Calibri" w:hAnsi="Calibri"/>
                <w:sz w:val="20"/>
                <w:vertAlign w:val="superscript"/>
                <w:lang w:val="en-US"/>
              </w:rPr>
              <w:t>t</w:t>
            </w:r>
          </w:p>
          <w:p w:rsidR="00BF799A" w:rsidRPr="00F11846" w:rsidRDefault="00BF799A" w:rsidP="0026289F">
            <w:pPr>
              <w:jc w:val="both"/>
              <w:cnfStyle w:val="000000010000"/>
              <w:rPr>
                <w:rFonts w:ascii="Calibri" w:hAnsi="Calibri"/>
                <w:sz w:val="20"/>
                <w:lang w:val="en-US"/>
              </w:rPr>
            </w:pPr>
          </w:p>
          <w:p w:rsidR="00BF799A" w:rsidRDefault="00BF799A" w:rsidP="0026289F">
            <w:pPr>
              <w:jc w:val="both"/>
              <w:cnfStyle w:val="000000010000"/>
              <w:rPr>
                <w:rFonts w:ascii="Calibri" w:hAnsi="Calibri"/>
                <w:sz w:val="20"/>
              </w:rPr>
            </w:pPr>
            <w:r>
              <w:rPr>
                <w:rFonts w:ascii="Calibri" w:hAnsi="Calibri"/>
                <w:sz w:val="20"/>
              </w:rPr>
              <w:t>Dónde:</w:t>
            </w:r>
          </w:p>
          <w:p w:rsidR="00BF799A" w:rsidRDefault="00BF799A" w:rsidP="0026289F">
            <w:pPr>
              <w:jc w:val="both"/>
              <w:cnfStyle w:val="000000010000"/>
              <w:rPr>
                <w:rFonts w:ascii="Calibri" w:hAnsi="Calibri"/>
                <w:sz w:val="20"/>
              </w:rPr>
            </w:pP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TBN</w:t>
            </w:r>
            <w:r>
              <w:rPr>
                <w:rFonts w:ascii="Calibri" w:hAnsi="Calibri"/>
                <w:noProof/>
                <w:sz w:val="20"/>
                <w:vertAlign w:val="superscript"/>
                <w:lang w:eastAsia="es-EC"/>
              </w:rPr>
              <w:t>t</w:t>
            </w:r>
            <w:proofErr w:type="spellEnd"/>
            <w:r w:rsidRPr="003E71BA">
              <w:rPr>
                <w:rFonts w:ascii="Calibri" w:hAnsi="Calibri"/>
                <w:sz w:val="20"/>
              </w:rPr>
              <w:t>= Tasa bruta de natalidad</w:t>
            </w:r>
            <w:r>
              <w:rPr>
                <w:rFonts w:ascii="Calibri" w:hAnsi="Calibri"/>
                <w:sz w:val="20"/>
              </w:rPr>
              <w:t xml:space="preserve"> del año t</w:t>
            </w: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N</w:t>
            </w:r>
            <w:r w:rsidR="00BF799A">
              <w:rPr>
                <w:rFonts w:ascii="Calibri" w:hAnsi="Calibri"/>
                <w:sz w:val="20"/>
              </w:rPr>
              <w:t>V</w:t>
            </w:r>
            <w:r>
              <w:rPr>
                <w:rFonts w:ascii="Calibri" w:hAnsi="Calibri"/>
                <w:sz w:val="20"/>
                <w:vertAlign w:val="superscript"/>
              </w:rPr>
              <w:t>t</w:t>
            </w:r>
            <w:proofErr w:type="spellEnd"/>
            <w:r>
              <w:rPr>
                <w:rFonts w:ascii="Calibri" w:hAnsi="Calibri"/>
                <w:sz w:val="20"/>
              </w:rPr>
              <w:t>= Número de nacidos vivos</w:t>
            </w:r>
            <w:r w:rsidRPr="003E71BA">
              <w:rPr>
                <w:rFonts w:ascii="Calibri" w:hAnsi="Calibri"/>
                <w:sz w:val="20"/>
              </w:rPr>
              <w:t xml:space="preserve"> en el año </w:t>
            </w:r>
            <w:r>
              <w:rPr>
                <w:rFonts w:ascii="Calibri" w:hAnsi="Calibri"/>
                <w:sz w:val="20"/>
              </w:rPr>
              <w:t>t</w:t>
            </w:r>
          </w:p>
          <w:p w:rsidR="003E71BA" w:rsidRDefault="000D6243" w:rsidP="003E71BA">
            <w:pPr>
              <w:jc w:val="both"/>
              <w:cnfStyle w:val="000000010000"/>
              <w:rPr>
                <w:rFonts w:ascii="Calibri" w:hAnsi="Calibri"/>
                <w:sz w:val="20"/>
              </w:rPr>
            </w:pPr>
            <w:r>
              <w:rPr>
                <w:rFonts w:ascii="Calibri" w:hAnsi="Calibri"/>
                <w:sz w:val="20"/>
              </w:rPr>
              <w:t>P</w:t>
            </w:r>
            <w:r w:rsidR="003E71BA" w:rsidRPr="003E71BA">
              <w:rPr>
                <w:rFonts w:ascii="Calibri" w:hAnsi="Calibri"/>
                <w:sz w:val="20"/>
                <w:vertAlign w:val="superscript"/>
              </w:rPr>
              <w:t>30-Jun-</w:t>
            </w:r>
            <w:r w:rsidR="003E71BA">
              <w:rPr>
                <w:rFonts w:ascii="Calibri" w:hAnsi="Calibri"/>
                <w:sz w:val="20"/>
                <w:vertAlign w:val="superscript"/>
              </w:rPr>
              <w:t>t</w:t>
            </w:r>
            <w:r w:rsidR="003E71BA" w:rsidRPr="003E71BA">
              <w:rPr>
                <w:rFonts w:ascii="Calibri" w:hAnsi="Calibri"/>
                <w:sz w:val="20"/>
              </w:rPr>
              <w:t>= Població</w:t>
            </w:r>
            <w:r w:rsidR="003E71BA">
              <w:rPr>
                <w:rFonts w:ascii="Calibri" w:hAnsi="Calibri"/>
                <w:sz w:val="20"/>
              </w:rPr>
              <w:t>n total a mitad del año t</w:t>
            </w:r>
          </w:p>
          <w:p w:rsidR="00BF799A" w:rsidRPr="003E71BA" w:rsidRDefault="00BF799A" w:rsidP="003E71BA">
            <w:pPr>
              <w:jc w:val="both"/>
              <w:cnfStyle w:val="000000010000"/>
              <w:rPr>
                <w:rFonts w:asciiTheme="minorHAnsi" w:hAnsiTheme="minorHAnsi"/>
                <w:sz w:val="20"/>
              </w:rPr>
            </w:pPr>
          </w:p>
        </w:tc>
      </w:tr>
      <w:tr w:rsidR="003D2B37" w:rsidRPr="00FE2CEC" w:rsidTr="00E76131">
        <w:trPr>
          <w:cnfStyle w:val="000000100000"/>
          <w:trHeight w:val="575"/>
        </w:trPr>
        <w:tc>
          <w:tcPr>
            <w:cnfStyle w:val="001000000000"/>
            <w:tcW w:w="4219" w:type="dxa"/>
          </w:tcPr>
          <w:p w:rsidR="0002306B" w:rsidRPr="00FE2CEC" w:rsidRDefault="0002306B" w:rsidP="0026289F">
            <w:pPr>
              <w:jc w:val="both"/>
              <w:rPr>
                <w:rFonts w:ascii="Calibri" w:hAnsi="Calibri"/>
                <w:sz w:val="24"/>
                <w:szCs w:val="24"/>
              </w:rPr>
            </w:pPr>
            <w:r w:rsidRPr="00FE2CEC">
              <w:rPr>
                <w:rFonts w:ascii="Calibri" w:hAnsi="Calibri"/>
                <w:sz w:val="24"/>
                <w:szCs w:val="24"/>
              </w:rPr>
              <w:t>Definición de las variables que componen el indicador</w:t>
            </w:r>
          </w:p>
          <w:p w:rsidR="003D2B37" w:rsidRPr="00FE2CEC" w:rsidRDefault="003D2B37" w:rsidP="0026289F">
            <w:pPr>
              <w:pStyle w:val="Ttulo5"/>
              <w:outlineLvl w:val="4"/>
              <w:rPr>
                <w:rFonts w:asciiTheme="minorHAnsi" w:hAnsiTheme="minorHAnsi"/>
                <w:color w:val="auto"/>
                <w:sz w:val="24"/>
                <w:szCs w:val="24"/>
              </w:rPr>
            </w:pPr>
          </w:p>
        </w:tc>
        <w:tc>
          <w:tcPr>
            <w:tcW w:w="6379" w:type="dxa"/>
          </w:tcPr>
          <w:p w:rsidR="003D2B37" w:rsidRPr="000D6243" w:rsidRDefault="00724008" w:rsidP="000D6243">
            <w:pPr>
              <w:autoSpaceDE w:val="0"/>
              <w:autoSpaceDN w:val="0"/>
              <w:adjustRightInd w:val="0"/>
              <w:jc w:val="both"/>
              <w:cnfStyle w:val="000000100000"/>
              <w:rPr>
                <w:rFonts w:asciiTheme="minorHAnsi" w:hAnsiTheme="minorHAnsi"/>
                <w:sz w:val="20"/>
              </w:rPr>
            </w:pPr>
            <w:r w:rsidRPr="00202131">
              <w:rPr>
                <w:rFonts w:asciiTheme="minorHAnsi" w:hAnsiTheme="minorHAnsi"/>
                <w:b/>
                <w:sz w:val="20"/>
              </w:rPr>
              <w:t>Nacido vivo</w:t>
            </w:r>
            <w:r w:rsidRPr="00202131">
              <w:rPr>
                <w:rFonts w:asciiTheme="minorHAnsi" w:hAnsiTheme="minorHAnsi" w:cs="Helvetica"/>
                <w:color w:val="000000"/>
                <w:sz w:val="20"/>
              </w:rPr>
              <w:t>:</w:t>
            </w:r>
            <w:r w:rsidRPr="00202131">
              <w:rPr>
                <w:rFonts w:ascii="Helvetica" w:hAnsi="Helvetica" w:cs="Helvetica"/>
                <w:color w:val="000000"/>
                <w:sz w:val="20"/>
              </w:rPr>
              <w:t xml:space="preserve"> </w:t>
            </w:r>
            <w:r w:rsidRPr="00202131">
              <w:rPr>
                <w:rFonts w:asciiTheme="minorHAnsi" w:hAnsiTheme="minorHAnsi" w:cs="Helvetica"/>
                <w:color w:val="000000"/>
                <w:sz w:val="20"/>
              </w:rPr>
              <w:t xml:space="preserve">Es la expulsión o extracción completa del cuerpo de su madre, independientemente de la duración del embarazo, de un producto de la concepción que, después de dicha separación, respire o de cualquier otra señal de vida, como latidos del corazón, pulsaciones del cordón </w:t>
            </w:r>
            <w:r w:rsidRPr="00202131">
              <w:rPr>
                <w:rFonts w:asciiTheme="minorHAnsi" w:hAnsiTheme="minorHAnsi"/>
                <w:sz w:val="20"/>
              </w:rPr>
              <w:t xml:space="preserve"> </w:t>
            </w:r>
            <w:r w:rsidRPr="00202131">
              <w:rPr>
                <w:rFonts w:asciiTheme="minorHAnsi" w:hAnsiTheme="minorHAnsi" w:cs="Helvetica"/>
                <w:color w:val="000000"/>
                <w:sz w:val="20"/>
              </w:rPr>
              <w:t>umbilical o movimientos efectivos de los músculos de contracción voluntaria, tanto si se ha cortado o no el cordón umbilical y está o no desprendida la placenta.  Cada producto de un nacimiento que reúna esas condiciones se considera como un nacido vivo.</w:t>
            </w:r>
          </w:p>
        </w:tc>
      </w:tr>
      <w:tr w:rsidR="00F5519B" w:rsidRPr="00FE2CEC" w:rsidTr="00E76131">
        <w:trPr>
          <w:cnfStyle w:val="000000010000"/>
          <w:trHeight w:val="575"/>
        </w:trPr>
        <w:tc>
          <w:tcPr>
            <w:cnfStyle w:val="001000000000"/>
            <w:tcW w:w="4219" w:type="dxa"/>
          </w:tcPr>
          <w:p w:rsidR="00F5519B" w:rsidRPr="00FE2CEC" w:rsidRDefault="0002306B" w:rsidP="0026289F">
            <w:pPr>
              <w:pStyle w:val="Ttulo5"/>
              <w:outlineLvl w:val="4"/>
              <w:rPr>
                <w:rFonts w:asciiTheme="minorHAnsi" w:hAnsiTheme="minorHAnsi"/>
                <w:color w:val="auto"/>
                <w:sz w:val="24"/>
                <w:szCs w:val="24"/>
              </w:rPr>
            </w:pPr>
            <w:r w:rsidRPr="00FE2CEC">
              <w:rPr>
                <w:rFonts w:ascii="Calibri" w:hAnsi="Calibri"/>
                <w:color w:val="auto"/>
                <w:sz w:val="24"/>
                <w:szCs w:val="24"/>
              </w:rPr>
              <w:t>Interpretación del Indicador</w:t>
            </w:r>
          </w:p>
        </w:tc>
        <w:tc>
          <w:tcPr>
            <w:tcW w:w="6379" w:type="dxa"/>
          </w:tcPr>
          <w:p w:rsidR="00F5519B" w:rsidRPr="00FE2CEC" w:rsidRDefault="00DD7BA6" w:rsidP="00A814DD">
            <w:pPr>
              <w:jc w:val="both"/>
              <w:cnfStyle w:val="000000010000"/>
              <w:rPr>
                <w:rFonts w:asciiTheme="minorHAnsi" w:hAnsiTheme="minorHAnsi"/>
                <w:color w:val="000000" w:themeColor="text1"/>
                <w:sz w:val="24"/>
                <w:szCs w:val="24"/>
                <w:lang w:val="es-CL"/>
              </w:rPr>
            </w:pPr>
            <w:r>
              <w:rPr>
                <w:rFonts w:asciiTheme="minorHAnsi" w:hAnsiTheme="minorHAnsi" w:cs="Helvetica"/>
                <w:color w:val="000000"/>
                <w:sz w:val="20"/>
              </w:rPr>
              <w:t>E</w:t>
            </w:r>
            <w:r w:rsidR="00BB4AE3">
              <w:rPr>
                <w:rFonts w:asciiTheme="minorHAnsi" w:hAnsiTheme="minorHAnsi" w:cs="Helvetica"/>
                <w:color w:val="000000"/>
                <w:sz w:val="20"/>
              </w:rPr>
              <w:t>n el Ecuador en el año 2007</w:t>
            </w:r>
            <w:r w:rsidR="00A814DD">
              <w:rPr>
                <w:rFonts w:asciiTheme="minorHAnsi" w:hAnsiTheme="minorHAnsi" w:cs="Helvetica"/>
                <w:color w:val="000000"/>
                <w:sz w:val="20"/>
              </w:rPr>
              <w:t>, p</w:t>
            </w:r>
            <w:r w:rsidR="00163765">
              <w:rPr>
                <w:rFonts w:asciiTheme="minorHAnsi" w:hAnsiTheme="minorHAnsi" w:cs="Helvetica"/>
                <w:color w:val="000000"/>
                <w:sz w:val="20"/>
              </w:rPr>
              <w:t>or cada 1.000</w:t>
            </w:r>
            <w:r w:rsidR="00D52467">
              <w:rPr>
                <w:rFonts w:asciiTheme="minorHAnsi" w:hAnsiTheme="minorHAnsi" w:cs="Helvetica"/>
                <w:color w:val="000000"/>
                <w:sz w:val="20"/>
              </w:rPr>
              <w:t xml:space="preserve"> personas nacieron </w:t>
            </w:r>
            <w:r w:rsidR="00BB4AE3">
              <w:rPr>
                <w:rFonts w:asciiTheme="minorHAnsi" w:hAnsiTheme="minorHAnsi" w:cs="Helvetica"/>
                <w:color w:val="000000"/>
                <w:sz w:val="20"/>
              </w:rPr>
              <w:t>20,9</w:t>
            </w:r>
            <w:r w:rsidR="00BF799A">
              <w:rPr>
                <w:rFonts w:asciiTheme="minorHAnsi" w:hAnsiTheme="minorHAnsi" w:cs="Helvetica"/>
                <w:color w:val="000000"/>
                <w:sz w:val="20"/>
              </w:rPr>
              <w:t xml:space="preserve"> niños y</w:t>
            </w:r>
            <w:bookmarkStart w:id="0" w:name="_GoBack"/>
            <w:bookmarkEnd w:id="0"/>
            <w:r w:rsidR="00A814DD">
              <w:rPr>
                <w:rFonts w:asciiTheme="minorHAnsi" w:hAnsiTheme="minorHAnsi" w:cs="Helvetica"/>
                <w:color w:val="000000"/>
                <w:sz w:val="20"/>
              </w:rPr>
              <w:t xml:space="preserve"> niñas.</w:t>
            </w:r>
          </w:p>
        </w:tc>
      </w:tr>
      <w:tr w:rsidR="00100A4E" w:rsidRPr="00FE2CEC" w:rsidTr="00E76131">
        <w:trPr>
          <w:cnfStyle w:val="000000100000"/>
          <w:trHeight w:val="575"/>
        </w:trPr>
        <w:tc>
          <w:tcPr>
            <w:cnfStyle w:val="001000000000"/>
            <w:tcW w:w="4219" w:type="dxa"/>
          </w:tcPr>
          <w:p w:rsidR="00100A4E" w:rsidRPr="00FE2CEC" w:rsidRDefault="00681DAE" w:rsidP="0026289F">
            <w:pPr>
              <w:pStyle w:val="Ttulo5"/>
              <w:outlineLvl w:val="4"/>
              <w:rPr>
                <w:rFonts w:asciiTheme="minorHAnsi" w:hAnsiTheme="minorHAnsi"/>
                <w:color w:val="auto"/>
                <w:sz w:val="24"/>
                <w:szCs w:val="24"/>
              </w:rPr>
            </w:pPr>
            <w:r w:rsidRPr="00FE2CEC">
              <w:rPr>
                <w:rFonts w:asciiTheme="minorHAnsi" w:hAnsiTheme="minorHAnsi"/>
                <w:color w:val="000000" w:themeColor="text1"/>
                <w:sz w:val="24"/>
                <w:szCs w:val="24"/>
              </w:rPr>
              <w:t>Fuente de información</w:t>
            </w:r>
          </w:p>
        </w:tc>
        <w:tc>
          <w:tcPr>
            <w:tcW w:w="6379" w:type="dxa"/>
          </w:tcPr>
          <w:p w:rsidR="003A766E"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Instituto Nacional de Estadística y Censos- INEC</w:t>
            </w:r>
          </w:p>
          <w:p w:rsidR="00100A4E" w:rsidRPr="002237B5"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Dirección de Estadísticas Sociodemográficas- DIES</w:t>
            </w:r>
          </w:p>
        </w:tc>
      </w:tr>
      <w:tr w:rsidR="003D2B37" w:rsidRPr="00FE2CEC" w:rsidTr="00E76131">
        <w:trPr>
          <w:cnfStyle w:val="000000010000"/>
          <w:trHeight w:val="582"/>
        </w:trPr>
        <w:tc>
          <w:tcPr>
            <w:cnfStyle w:val="001000000000"/>
            <w:tcW w:w="4219" w:type="dxa"/>
          </w:tcPr>
          <w:p w:rsidR="003D2B37" w:rsidRPr="00FE2CEC" w:rsidRDefault="00100A4E"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Fuente de datos</w:t>
            </w:r>
          </w:p>
        </w:tc>
        <w:tc>
          <w:tcPr>
            <w:tcW w:w="6379" w:type="dxa"/>
          </w:tcPr>
          <w:p w:rsidR="003D2B37" w:rsidRPr="002237B5" w:rsidRDefault="00B216F8" w:rsidP="00B216F8">
            <w:pPr>
              <w:autoSpaceDE w:val="0"/>
              <w:autoSpaceDN w:val="0"/>
              <w:adjustRightInd w:val="0"/>
              <w:cnfStyle w:val="000000010000"/>
              <w:rPr>
                <w:rFonts w:asciiTheme="minorHAnsi" w:hAnsiTheme="minorHAnsi" w:cs="Helvetica"/>
                <w:color w:val="000000"/>
                <w:sz w:val="20"/>
              </w:rPr>
            </w:pPr>
            <w:r w:rsidRPr="00B216F8">
              <w:rPr>
                <w:rFonts w:asciiTheme="minorHAnsi" w:hAnsiTheme="minorHAnsi" w:cs="Helvetica"/>
                <w:color w:val="000000"/>
                <w:sz w:val="20"/>
              </w:rPr>
              <w:t xml:space="preserve">Registros administrativos (Oficinas de Registro Civil, Identificación y Cedulación)  </w:t>
            </w:r>
            <w:r>
              <w:rPr>
                <w:rFonts w:asciiTheme="minorHAnsi" w:hAnsiTheme="minorHAnsi" w:cs="Helvetica"/>
                <w:color w:val="000000"/>
                <w:sz w:val="20"/>
              </w:rPr>
              <w:t>-  Estadística</w:t>
            </w:r>
            <w:r w:rsidR="00E2548C">
              <w:rPr>
                <w:rFonts w:asciiTheme="minorHAnsi" w:hAnsiTheme="minorHAnsi" w:cs="Helvetica"/>
                <w:color w:val="000000"/>
                <w:sz w:val="20"/>
              </w:rPr>
              <w:t xml:space="preserve"> de Nacimientos y Defunciones  (</w:t>
            </w:r>
            <w:r>
              <w:rPr>
                <w:rFonts w:asciiTheme="minorHAnsi" w:hAnsiTheme="minorHAnsi" w:cs="Helvetica"/>
                <w:color w:val="000000"/>
                <w:sz w:val="20"/>
              </w:rPr>
              <w:t>INEC</w:t>
            </w:r>
            <w:r w:rsidR="00E2548C">
              <w:rPr>
                <w:rFonts w:asciiTheme="minorHAnsi" w:hAnsiTheme="minorHAnsi" w:cs="Helvetica"/>
                <w:color w:val="000000"/>
                <w:sz w:val="20"/>
              </w:rPr>
              <w:t>)</w:t>
            </w:r>
          </w:p>
        </w:tc>
      </w:tr>
      <w:tr w:rsidR="00F3661D" w:rsidRPr="00FE2CEC" w:rsidTr="00E76131">
        <w:trPr>
          <w:cnfStyle w:val="000000100000"/>
          <w:trHeight w:val="414"/>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Periodo de Cobertura</w:t>
            </w:r>
          </w:p>
        </w:tc>
        <w:tc>
          <w:tcPr>
            <w:tcW w:w="6379" w:type="dxa"/>
          </w:tcPr>
          <w:p w:rsidR="00F3661D" w:rsidRPr="00FE2CEC" w:rsidRDefault="00F3661D" w:rsidP="00FC314E">
            <w:pPr>
              <w:autoSpaceDE w:val="0"/>
              <w:autoSpaceDN w:val="0"/>
              <w:adjustRightInd w:val="0"/>
              <w:cnfStyle w:val="000000100000"/>
              <w:rPr>
                <w:rFonts w:asciiTheme="minorHAnsi" w:hAnsiTheme="minorHAnsi"/>
                <w:color w:val="000000" w:themeColor="text1"/>
                <w:sz w:val="24"/>
                <w:szCs w:val="24"/>
                <w:lang w:val="es-CL"/>
              </w:rPr>
            </w:pPr>
            <w:r w:rsidRPr="00FC314E">
              <w:rPr>
                <w:rFonts w:asciiTheme="minorHAnsi" w:hAnsiTheme="minorHAnsi" w:cs="Helvetica"/>
                <w:color w:val="000000"/>
                <w:sz w:val="20"/>
              </w:rPr>
              <w:t>De enero a diciembre del año investigado</w:t>
            </w:r>
          </w:p>
        </w:tc>
      </w:tr>
      <w:tr w:rsidR="00F3661D" w:rsidRPr="00FE2CEC" w:rsidTr="00E76131">
        <w:trPr>
          <w:cnfStyle w:val="000000010000"/>
          <w:trHeight w:val="406"/>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Desagregaciones</w:t>
            </w:r>
          </w:p>
        </w:tc>
        <w:tc>
          <w:tcPr>
            <w:tcW w:w="6379" w:type="dxa"/>
          </w:tcPr>
          <w:p w:rsidR="00F3661D" w:rsidRPr="00FE2CEC" w:rsidRDefault="00F3661D" w:rsidP="005A1230">
            <w:pPr>
              <w:autoSpaceDE w:val="0"/>
              <w:autoSpaceDN w:val="0"/>
              <w:adjustRightInd w:val="0"/>
              <w:cnfStyle w:val="000000010000"/>
              <w:rPr>
                <w:rFonts w:asciiTheme="minorHAnsi" w:hAnsiTheme="minorHAnsi"/>
                <w:color w:val="000000" w:themeColor="text1"/>
                <w:sz w:val="24"/>
                <w:szCs w:val="24"/>
                <w:lang w:val="es-CL"/>
              </w:rPr>
            </w:pPr>
            <w:r w:rsidRPr="00FC314E">
              <w:rPr>
                <w:rFonts w:asciiTheme="minorHAnsi" w:hAnsiTheme="minorHAnsi" w:cs="Helvetica"/>
                <w:color w:val="000000"/>
                <w:sz w:val="20"/>
              </w:rPr>
              <w:t>Nacional, provincial, cantonal</w:t>
            </w:r>
          </w:p>
        </w:tc>
      </w:tr>
      <w:tr w:rsidR="00F3661D" w:rsidRPr="00FE2CEC" w:rsidTr="00E76131">
        <w:trPr>
          <w:cnfStyle w:val="000000100000"/>
          <w:trHeight w:val="548"/>
        </w:trPr>
        <w:tc>
          <w:tcPr>
            <w:cnfStyle w:val="001000000000"/>
            <w:tcW w:w="4219" w:type="dxa"/>
          </w:tcPr>
          <w:p w:rsidR="00F3661D" w:rsidRPr="00FE2CEC" w:rsidRDefault="00F3661D" w:rsidP="0026289F">
            <w:pPr>
              <w:jc w:val="both"/>
              <w:rPr>
                <w:rFonts w:asciiTheme="minorHAnsi" w:hAnsiTheme="minorHAnsi"/>
                <w:color w:val="000000" w:themeColor="text1"/>
                <w:sz w:val="24"/>
                <w:szCs w:val="24"/>
              </w:rPr>
            </w:pPr>
            <w:r w:rsidRPr="00FE2CEC">
              <w:rPr>
                <w:rFonts w:ascii="Calibri" w:hAnsi="Calibri"/>
                <w:sz w:val="24"/>
                <w:szCs w:val="24"/>
              </w:rPr>
              <w:t>Periodo de la serie de tiempo actualmente disponible</w:t>
            </w:r>
          </w:p>
        </w:tc>
        <w:tc>
          <w:tcPr>
            <w:tcW w:w="6379" w:type="dxa"/>
          </w:tcPr>
          <w:p w:rsidR="00F3661D" w:rsidRDefault="00DD7BA6" w:rsidP="00FC314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1985-2008</w:t>
            </w:r>
            <w:r w:rsidR="00F11846">
              <w:rPr>
                <w:rFonts w:asciiTheme="minorHAnsi" w:hAnsiTheme="minorHAnsi" w:cs="Helvetica"/>
                <w:color w:val="000000"/>
                <w:sz w:val="20"/>
              </w:rPr>
              <w:t>*</w:t>
            </w:r>
          </w:p>
          <w:p w:rsidR="00F11846" w:rsidRPr="00D9267E" w:rsidRDefault="00F11846" w:rsidP="00FC314E">
            <w:pPr>
              <w:autoSpaceDE w:val="0"/>
              <w:autoSpaceDN w:val="0"/>
              <w:adjustRightInd w:val="0"/>
              <w:cnfStyle w:val="000000100000"/>
              <w:rPr>
                <w:rFonts w:asciiTheme="minorHAnsi" w:hAnsiTheme="minorHAnsi" w:cs="Helvetica"/>
                <w:color w:val="000000"/>
                <w:sz w:val="20"/>
              </w:rPr>
            </w:pPr>
            <w:r>
              <w:rPr>
                <w:rFonts w:asciiTheme="minorHAnsi" w:hAnsiTheme="minorHAnsi"/>
                <w:color w:val="000000" w:themeColor="text1"/>
                <w:sz w:val="20"/>
                <w:lang w:val="es-CL"/>
              </w:rPr>
              <w:t>*Disponible en archivos físicos y electrónicos.</w:t>
            </w:r>
          </w:p>
        </w:tc>
      </w:tr>
      <w:tr w:rsidR="00F3661D" w:rsidRPr="00FE2CEC" w:rsidTr="00E76131">
        <w:trPr>
          <w:cnfStyle w:val="000000010000"/>
          <w:trHeight w:val="804"/>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Limitaciones</w:t>
            </w:r>
          </w:p>
        </w:tc>
        <w:tc>
          <w:tcPr>
            <w:tcW w:w="6379" w:type="dxa"/>
          </w:tcPr>
          <w:p w:rsidR="00F3661D" w:rsidRPr="00A814DD" w:rsidRDefault="00F3661D" w:rsidP="0026289F">
            <w:pPr>
              <w:jc w:val="both"/>
              <w:cnfStyle w:val="000000010000"/>
              <w:rPr>
                <w:rFonts w:asciiTheme="minorHAnsi" w:hAnsiTheme="minorHAnsi"/>
                <w:sz w:val="20"/>
                <w:lang w:val="es-CL"/>
              </w:rPr>
            </w:pPr>
            <w:r>
              <w:rPr>
                <w:rFonts w:asciiTheme="minorHAnsi" w:hAnsiTheme="minorHAnsi"/>
                <w:sz w:val="20"/>
                <w:lang w:val="es-CL"/>
              </w:rPr>
              <w:t>Debido a que una parte de los registros de los nacimientos no se realizan dentro del año de investigación, para el cálculo de las tasas, los datos son corregidos el año siguiente, con los nacimientos registrados en ese año, pero ocurridos en el año anterior.</w:t>
            </w:r>
          </w:p>
        </w:tc>
      </w:tr>
      <w:tr w:rsidR="00F3661D" w:rsidRPr="00FE2CEC" w:rsidTr="00E76131">
        <w:trPr>
          <w:cnfStyle w:val="000000100000"/>
          <w:trHeight w:val="804"/>
        </w:trPr>
        <w:tc>
          <w:tcPr>
            <w:cnfStyle w:val="001000000000"/>
            <w:tcW w:w="4219" w:type="dxa"/>
          </w:tcPr>
          <w:p w:rsidR="00F3661D" w:rsidRPr="00FE2CEC" w:rsidRDefault="00F3661D" w:rsidP="003A766E">
            <w:pPr>
              <w:jc w:val="both"/>
              <w:rPr>
                <w:rFonts w:asciiTheme="minorHAnsi" w:hAnsiTheme="minorHAnsi"/>
                <w:sz w:val="24"/>
                <w:szCs w:val="24"/>
              </w:rPr>
            </w:pPr>
            <w:r w:rsidRPr="003A766E">
              <w:rPr>
                <w:rFonts w:asciiTheme="minorHAnsi" w:hAnsiTheme="minorHAnsi"/>
                <w:sz w:val="24"/>
                <w:szCs w:val="24"/>
              </w:rPr>
              <w:lastRenderedPageBreak/>
              <w:t>Periodicidad de producción del indicador</w:t>
            </w:r>
          </w:p>
        </w:tc>
        <w:tc>
          <w:tcPr>
            <w:tcW w:w="6379" w:type="dxa"/>
          </w:tcPr>
          <w:p w:rsidR="00F3661D" w:rsidRPr="00FE2CEC" w:rsidRDefault="00F3661D" w:rsidP="00FC314E">
            <w:pPr>
              <w:autoSpaceDE w:val="0"/>
              <w:autoSpaceDN w:val="0"/>
              <w:adjustRightInd w:val="0"/>
              <w:cnfStyle w:val="000000100000"/>
              <w:rPr>
                <w:rFonts w:asciiTheme="minorHAnsi" w:hAnsiTheme="minorHAnsi"/>
                <w:sz w:val="24"/>
                <w:szCs w:val="24"/>
              </w:rPr>
            </w:pPr>
            <w:r>
              <w:rPr>
                <w:rFonts w:asciiTheme="minorHAnsi" w:hAnsiTheme="minorHAnsi" w:cs="Helvetica"/>
                <w:color w:val="000000"/>
                <w:sz w:val="20"/>
              </w:rPr>
              <w:t>Anual</w:t>
            </w:r>
          </w:p>
        </w:tc>
      </w:tr>
      <w:tr w:rsidR="00F3661D" w:rsidRPr="00FE2CEC" w:rsidTr="00E76131">
        <w:trPr>
          <w:cnfStyle w:val="000000010000"/>
          <w:trHeight w:val="419"/>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Uso del Indicador</w:t>
            </w:r>
          </w:p>
        </w:tc>
        <w:tc>
          <w:tcPr>
            <w:tcW w:w="6379" w:type="dxa"/>
          </w:tcPr>
          <w:p w:rsidR="00F3661D" w:rsidRDefault="00F3661D" w:rsidP="003B1608">
            <w:pPr>
              <w:autoSpaceDE w:val="0"/>
              <w:autoSpaceDN w:val="0"/>
              <w:adjustRightInd w:val="0"/>
              <w:jc w:val="both"/>
              <w:cnfStyle w:val="000000010000"/>
              <w:rPr>
                <w:rFonts w:asciiTheme="minorHAnsi" w:hAnsiTheme="minorHAnsi" w:cstheme="minorHAnsi"/>
                <w:sz w:val="20"/>
                <w:lang w:val="es-ES_tradnl"/>
              </w:rPr>
            </w:pPr>
            <w:r w:rsidRPr="003B1608">
              <w:rPr>
                <w:rFonts w:asciiTheme="minorHAnsi" w:hAnsiTheme="minorHAnsi" w:cstheme="minorHAnsi"/>
                <w:sz w:val="20"/>
                <w:lang w:val="es-ES_tradnl"/>
              </w:rPr>
              <w:t>Las tendencias de los nacimientos</w:t>
            </w:r>
            <w:r>
              <w:rPr>
                <w:rFonts w:asciiTheme="minorHAnsi" w:hAnsiTheme="minorHAnsi" w:cstheme="minorHAnsi"/>
                <w:sz w:val="20"/>
                <w:lang w:val="es-ES_tradnl"/>
              </w:rPr>
              <w:t xml:space="preserve">, junto con las </w:t>
            </w:r>
            <w:r w:rsidRPr="003B1608">
              <w:rPr>
                <w:rFonts w:asciiTheme="minorHAnsi" w:hAnsiTheme="minorHAnsi" w:cstheme="minorHAnsi"/>
                <w:sz w:val="20"/>
                <w:lang w:val="es-ES_tradnl"/>
              </w:rPr>
              <w:t xml:space="preserve">muertes </w:t>
            </w:r>
            <w:r>
              <w:rPr>
                <w:rFonts w:asciiTheme="minorHAnsi" w:hAnsiTheme="minorHAnsi" w:cstheme="minorHAnsi"/>
                <w:sz w:val="20"/>
                <w:lang w:val="es-ES_tradnl"/>
              </w:rPr>
              <w:t>y</w:t>
            </w:r>
            <w:r w:rsidRPr="003B1608">
              <w:rPr>
                <w:rFonts w:asciiTheme="minorHAnsi" w:hAnsiTheme="minorHAnsi" w:cstheme="minorHAnsi"/>
                <w:sz w:val="20"/>
                <w:lang w:val="es-ES_tradnl"/>
              </w:rPr>
              <w:t xml:space="preserve"> la migración poblacional, </w:t>
            </w:r>
            <w:r>
              <w:rPr>
                <w:rFonts w:asciiTheme="minorHAnsi" w:hAnsiTheme="minorHAnsi" w:cstheme="minorHAnsi"/>
                <w:sz w:val="20"/>
                <w:lang w:val="es-ES_tradnl"/>
              </w:rPr>
              <w:t>son los tres</w:t>
            </w:r>
            <w:r w:rsidRPr="003B1608">
              <w:rPr>
                <w:rFonts w:asciiTheme="minorHAnsi" w:hAnsiTheme="minorHAnsi" w:cstheme="minorHAnsi"/>
                <w:sz w:val="20"/>
                <w:lang w:val="es-ES_tradnl"/>
              </w:rPr>
              <w:t xml:space="preserve"> factores causantes de la variación poblacional, que determinan el crecimiento y disminución de la población, y son los principales factores que determinan su composición futura.</w:t>
            </w:r>
          </w:p>
          <w:p w:rsidR="00F3661D" w:rsidRPr="003B1608" w:rsidRDefault="00F3661D" w:rsidP="003B1608">
            <w:pPr>
              <w:autoSpaceDE w:val="0"/>
              <w:autoSpaceDN w:val="0"/>
              <w:adjustRightInd w:val="0"/>
              <w:jc w:val="both"/>
              <w:cnfStyle w:val="000000010000"/>
              <w:rPr>
                <w:rFonts w:asciiTheme="minorHAnsi" w:hAnsiTheme="minorHAnsi" w:cstheme="minorHAnsi"/>
                <w:sz w:val="20"/>
                <w:lang w:val="es-ES_tradnl"/>
              </w:rPr>
            </w:pPr>
            <w:r>
              <w:rPr>
                <w:rFonts w:asciiTheme="minorHAnsi" w:hAnsiTheme="minorHAnsi" w:cstheme="minorHAnsi"/>
                <w:sz w:val="20"/>
                <w:lang w:val="es-ES_tradnl"/>
              </w:rPr>
              <w:t>El indicador es utilizado en la medición de la fecundidad y en la elaboración de políticas públicas demográficas.</w:t>
            </w:r>
          </w:p>
        </w:tc>
      </w:tr>
      <w:tr w:rsidR="00F3661D" w:rsidRPr="00FE2CEC" w:rsidTr="00E76131">
        <w:trPr>
          <w:cnfStyle w:val="000000100000"/>
          <w:trHeight w:val="383"/>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bCs w:val="0"/>
                <w:sz w:val="24"/>
                <w:szCs w:val="24"/>
                <w:lang w:eastAsia="es-ES"/>
              </w:rPr>
            </w:pPr>
            <w:r w:rsidRPr="00FE2CEC">
              <w:rPr>
                <w:rFonts w:asciiTheme="minorHAnsi" w:hAnsiTheme="minorHAnsi" w:cs="Arial"/>
                <w:bCs w:val="0"/>
                <w:sz w:val="24"/>
                <w:szCs w:val="24"/>
                <w:lang w:eastAsia="es-ES"/>
              </w:rPr>
              <w:t>Relación del indicador con Objetivos del Plan Nacional del Buen Vivir (PNBV)</w:t>
            </w: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N/A</w:t>
            </w:r>
          </w:p>
        </w:tc>
      </w:tr>
      <w:tr w:rsidR="00F3661D" w:rsidRPr="00FE2CEC" w:rsidTr="00E76131">
        <w:trPr>
          <w:cnfStyle w:val="000000010000"/>
          <w:trHeight w:val="790"/>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sz w:val="24"/>
                <w:szCs w:val="24"/>
                <w:lang w:eastAsia="es-ES"/>
              </w:rPr>
            </w:pPr>
            <w:r w:rsidRPr="00FE2CEC">
              <w:rPr>
                <w:rFonts w:asciiTheme="minorHAnsi" w:hAnsiTheme="minorHAnsi" w:cs="Arial"/>
                <w:sz w:val="24"/>
                <w:szCs w:val="24"/>
                <w:lang w:eastAsia="es-ES"/>
              </w:rPr>
              <w:t xml:space="preserve">Información </w:t>
            </w:r>
            <w:proofErr w:type="spellStart"/>
            <w:r w:rsidRPr="00FE2CEC">
              <w:rPr>
                <w:rFonts w:asciiTheme="minorHAnsi" w:hAnsiTheme="minorHAnsi" w:cs="Arial"/>
                <w:sz w:val="24"/>
                <w:szCs w:val="24"/>
                <w:lang w:eastAsia="es-ES"/>
              </w:rPr>
              <w:t>Georeferenciada</w:t>
            </w:r>
            <w:proofErr w:type="spellEnd"/>
          </w:p>
        </w:tc>
        <w:tc>
          <w:tcPr>
            <w:tcW w:w="6379" w:type="dxa"/>
          </w:tcPr>
          <w:p w:rsidR="00F3661D" w:rsidRPr="00F90826" w:rsidRDefault="00F3661D" w:rsidP="00F90826">
            <w:pPr>
              <w:autoSpaceDE w:val="0"/>
              <w:autoSpaceDN w:val="0"/>
              <w:adjustRightInd w:val="0"/>
              <w:cnfStyle w:val="000000010000"/>
              <w:rPr>
                <w:rFonts w:asciiTheme="minorHAnsi" w:hAnsiTheme="minorHAnsi" w:cs="Helvetica"/>
                <w:color w:val="000000"/>
                <w:sz w:val="20"/>
              </w:rPr>
            </w:pPr>
            <w:r w:rsidRPr="00F90826">
              <w:rPr>
                <w:rFonts w:asciiTheme="minorHAnsi" w:hAnsiTheme="minorHAnsi" w:cs="Helvetica"/>
                <w:color w:val="000000"/>
                <w:sz w:val="20"/>
              </w:rPr>
              <w:t>NO</w:t>
            </w:r>
          </w:p>
        </w:tc>
      </w:tr>
      <w:tr w:rsidR="00F3661D" w:rsidRPr="00FE2CEC" w:rsidTr="00E76131">
        <w:trPr>
          <w:cnfStyle w:val="000000100000"/>
          <w:trHeight w:val="440"/>
        </w:trPr>
        <w:tc>
          <w:tcPr>
            <w:cnfStyle w:val="001000000000"/>
            <w:tcW w:w="4219" w:type="dxa"/>
          </w:tcPr>
          <w:p w:rsidR="00F3661D" w:rsidRPr="00FE2CEC" w:rsidRDefault="00F3661D" w:rsidP="0026289F">
            <w:pPr>
              <w:autoSpaceDE w:val="0"/>
              <w:autoSpaceDN w:val="0"/>
              <w:adjustRightInd w:val="0"/>
              <w:jc w:val="both"/>
              <w:rPr>
                <w:rFonts w:ascii="Calibri" w:hAnsi="Calibri" w:cs="Arial"/>
                <w:bCs w:val="0"/>
                <w:sz w:val="24"/>
                <w:szCs w:val="24"/>
                <w:lang w:eastAsia="es-ES"/>
              </w:rPr>
            </w:pPr>
            <w:r w:rsidRPr="00FE2CEC">
              <w:rPr>
                <w:rFonts w:ascii="Calibri" w:hAnsi="Calibri" w:cs="Arial"/>
                <w:bCs w:val="0"/>
                <w:sz w:val="24"/>
                <w:szCs w:val="24"/>
                <w:lang w:eastAsia="es-ES"/>
              </w:rPr>
              <w:t>Fecha de elaboración de la ficha:</w:t>
            </w:r>
          </w:p>
          <w:p w:rsidR="00F3661D" w:rsidRPr="00FE2CEC" w:rsidRDefault="00F3661D" w:rsidP="0026289F">
            <w:pPr>
              <w:pStyle w:val="Ttulo5"/>
              <w:outlineLvl w:val="4"/>
              <w:rPr>
                <w:rFonts w:asciiTheme="minorHAnsi" w:hAnsiTheme="minorHAnsi"/>
                <w:color w:val="000000" w:themeColor="text1"/>
                <w:sz w:val="24"/>
                <w:szCs w:val="24"/>
              </w:rPr>
            </w:pP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sidRPr="00F90826">
              <w:rPr>
                <w:rFonts w:asciiTheme="minorHAnsi" w:hAnsiTheme="minorHAnsi" w:cs="Helvetica"/>
                <w:color w:val="000000"/>
                <w:sz w:val="20"/>
              </w:rPr>
              <w:t xml:space="preserve">8 junio </w:t>
            </w:r>
            <w:r>
              <w:rPr>
                <w:rFonts w:asciiTheme="minorHAnsi" w:hAnsiTheme="minorHAnsi" w:cs="Helvetica"/>
                <w:color w:val="000000"/>
                <w:sz w:val="20"/>
              </w:rPr>
              <w:t xml:space="preserve">de </w:t>
            </w:r>
            <w:r w:rsidRPr="00F90826">
              <w:rPr>
                <w:rFonts w:asciiTheme="minorHAnsi" w:hAnsiTheme="minorHAnsi" w:cs="Helvetica"/>
                <w:color w:val="000000"/>
                <w:sz w:val="20"/>
              </w:rPr>
              <w:t>2012.</w:t>
            </w:r>
          </w:p>
        </w:tc>
      </w:tr>
    </w:tbl>
    <w:p w:rsidR="00D72D82" w:rsidRPr="00FE2CEC" w:rsidRDefault="00D72D82" w:rsidP="003B1608">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8FA" w:rsidRDefault="00B408FA" w:rsidP="00FC47BC">
      <w:r>
        <w:separator/>
      </w:r>
    </w:p>
  </w:endnote>
  <w:endnote w:type="continuationSeparator" w:id="0">
    <w:p w:rsidR="00B408FA" w:rsidRDefault="00B408FA"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8E417D"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8FA" w:rsidRDefault="00B408FA" w:rsidP="00FC47BC">
      <w:r>
        <w:separator/>
      </w:r>
    </w:p>
  </w:footnote>
  <w:footnote w:type="continuationSeparator" w:id="0">
    <w:p w:rsidR="00B408FA" w:rsidRDefault="00B408FA"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44F09"/>
    <w:rsid w:val="000632EE"/>
    <w:rsid w:val="00067746"/>
    <w:rsid w:val="00092863"/>
    <w:rsid w:val="000950CA"/>
    <w:rsid w:val="000A3CEE"/>
    <w:rsid w:val="000B657D"/>
    <w:rsid w:val="000C1DAF"/>
    <w:rsid w:val="000D41FD"/>
    <w:rsid w:val="000D6243"/>
    <w:rsid w:val="000D7206"/>
    <w:rsid w:val="000E3E18"/>
    <w:rsid w:val="000E3F2C"/>
    <w:rsid w:val="000E71D9"/>
    <w:rsid w:val="000F246B"/>
    <w:rsid w:val="000F31BF"/>
    <w:rsid w:val="00100A4E"/>
    <w:rsid w:val="0012586F"/>
    <w:rsid w:val="00150277"/>
    <w:rsid w:val="0015191A"/>
    <w:rsid w:val="00163765"/>
    <w:rsid w:val="00193950"/>
    <w:rsid w:val="0019537D"/>
    <w:rsid w:val="001A0B9F"/>
    <w:rsid w:val="001A5616"/>
    <w:rsid w:val="001C2273"/>
    <w:rsid w:val="001D0BEB"/>
    <w:rsid w:val="001D67EF"/>
    <w:rsid w:val="001E081C"/>
    <w:rsid w:val="001E2B29"/>
    <w:rsid w:val="001E6EB2"/>
    <w:rsid w:val="001F1F8C"/>
    <w:rsid w:val="001F30DF"/>
    <w:rsid w:val="001F7D77"/>
    <w:rsid w:val="00206232"/>
    <w:rsid w:val="002148DC"/>
    <w:rsid w:val="002237B5"/>
    <w:rsid w:val="00223FD8"/>
    <w:rsid w:val="00231A35"/>
    <w:rsid w:val="00242948"/>
    <w:rsid w:val="00245C0D"/>
    <w:rsid w:val="002462D6"/>
    <w:rsid w:val="002562B2"/>
    <w:rsid w:val="0026289F"/>
    <w:rsid w:val="00273A8D"/>
    <w:rsid w:val="00280F9C"/>
    <w:rsid w:val="00291621"/>
    <w:rsid w:val="002A61FB"/>
    <w:rsid w:val="002B073B"/>
    <w:rsid w:val="002C2B39"/>
    <w:rsid w:val="002F6789"/>
    <w:rsid w:val="002F6A2C"/>
    <w:rsid w:val="00325832"/>
    <w:rsid w:val="00350C4B"/>
    <w:rsid w:val="0036065B"/>
    <w:rsid w:val="003671B6"/>
    <w:rsid w:val="00367D62"/>
    <w:rsid w:val="003778A6"/>
    <w:rsid w:val="00381F04"/>
    <w:rsid w:val="003874D7"/>
    <w:rsid w:val="00387B22"/>
    <w:rsid w:val="003A14AE"/>
    <w:rsid w:val="003A1777"/>
    <w:rsid w:val="003A195D"/>
    <w:rsid w:val="003A766E"/>
    <w:rsid w:val="003A76D6"/>
    <w:rsid w:val="003B1608"/>
    <w:rsid w:val="003B197E"/>
    <w:rsid w:val="003B2D8A"/>
    <w:rsid w:val="003B6A0C"/>
    <w:rsid w:val="003D2B37"/>
    <w:rsid w:val="003D7DB2"/>
    <w:rsid w:val="003E71BA"/>
    <w:rsid w:val="003E74EA"/>
    <w:rsid w:val="003F1A8F"/>
    <w:rsid w:val="003F340A"/>
    <w:rsid w:val="00405E63"/>
    <w:rsid w:val="00407275"/>
    <w:rsid w:val="00413F47"/>
    <w:rsid w:val="00424D3F"/>
    <w:rsid w:val="0044064F"/>
    <w:rsid w:val="00443351"/>
    <w:rsid w:val="00443A5E"/>
    <w:rsid w:val="0044727E"/>
    <w:rsid w:val="004558A5"/>
    <w:rsid w:val="004657A5"/>
    <w:rsid w:val="00474B80"/>
    <w:rsid w:val="00475E06"/>
    <w:rsid w:val="00482A0D"/>
    <w:rsid w:val="00490E14"/>
    <w:rsid w:val="004914E4"/>
    <w:rsid w:val="00493215"/>
    <w:rsid w:val="00493B5E"/>
    <w:rsid w:val="004A4425"/>
    <w:rsid w:val="004A7B25"/>
    <w:rsid w:val="004B088F"/>
    <w:rsid w:val="004B60DD"/>
    <w:rsid w:val="004C1D82"/>
    <w:rsid w:val="004C75EA"/>
    <w:rsid w:val="004D3FA0"/>
    <w:rsid w:val="00501E7D"/>
    <w:rsid w:val="00505B58"/>
    <w:rsid w:val="00511A7E"/>
    <w:rsid w:val="0051418C"/>
    <w:rsid w:val="00514A3B"/>
    <w:rsid w:val="00527641"/>
    <w:rsid w:val="00534E1F"/>
    <w:rsid w:val="00535F4B"/>
    <w:rsid w:val="00541C3C"/>
    <w:rsid w:val="0058564D"/>
    <w:rsid w:val="00587537"/>
    <w:rsid w:val="0059188B"/>
    <w:rsid w:val="005A1230"/>
    <w:rsid w:val="005B54E6"/>
    <w:rsid w:val="005E2BDD"/>
    <w:rsid w:val="005F4F64"/>
    <w:rsid w:val="005F610C"/>
    <w:rsid w:val="005F7391"/>
    <w:rsid w:val="0060636A"/>
    <w:rsid w:val="00610265"/>
    <w:rsid w:val="0061512F"/>
    <w:rsid w:val="006302E9"/>
    <w:rsid w:val="006341A3"/>
    <w:rsid w:val="0064182E"/>
    <w:rsid w:val="00644CCC"/>
    <w:rsid w:val="00651581"/>
    <w:rsid w:val="0065444B"/>
    <w:rsid w:val="00657FFB"/>
    <w:rsid w:val="0066526F"/>
    <w:rsid w:val="00666BB7"/>
    <w:rsid w:val="0066793A"/>
    <w:rsid w:val="006738D5"/>
    <w:rsid w:val="00681DAE"/>
    <w:rsid w:val="00684268"/>
    <w:rsid w:val="00685F38"/>
    <w:rsid w:val="006903EF"/>
    <w:rsid w:val="00690875"/>
    <w:rsid w:val="006918B8"/>
    <w:rsid w:val="006A6987"/>
    <w:rsid w:val="006B15A0"/>
    <w:rsid w:val="006B3B1E"/>
    <w:rsid w:val="006B548E"/>
    <w:rsid w:val="006C470A"/>
    <w:rsid w:val="006D3F6B"/>
    <w:rsid w:val="006D50BB"/>
    <w:rsid w:val="006E0F74"/>
    <w:rsid w:val="006F2E56"/>
    <w:rsid w:val="00701991"/>
    <w:rsid w:val="00703691"/>
    <w:rsid w:val="0072291C"/>
    <w:rsid w:val="00724008"/>
    <w:rsid w:val="00736464"/>
    <w:rsid w:val="0075036A"/>
    <w:rsid w:val="00754EF4"/>
    <w:rsid w:val="007600F4"/>
    <w:rsid w:val="00760B23"/>
    <w:rsid w:val="00763F46"/>
    <w:rsid w:val="007670A6"/>
    <w:rsid w:val="00775A7A"/>
    <w:rsid w:val="007807DA"/>
    <w:rsid w:val="0078122C"/>
    <w:rsid w:val="007836DC"/>
    <w:rsid w:val="00790ADE"/>
    <w:rsid w:val="00791AAE"/>
    <w:rsid w:val="00791F75"/>
    <w:rsid w:val="00793DC6"/>
    <w:rsid w:val="00797529"/>
    <w:rsid w:val="007A1AE0"/>
    <w:rsid w:val="007A41ED"/>
    <w:rsid w:val="007B4F50"/>
    <w:rsid w:val="007D69C1"/>
    <w:rsid w:val="007F17D5"/>
    <w:rsid w:val="007F5483"/>
    <w:rsid w:val="00805A66"/>
    <w:rsid w:val="00805E7C"/>
    <w:rsid w:val="00806885"/>
    <w:rsid w:val="0081482C"/>
    <w:rsid w:val="008258C4"/>
    <w:rsid w:val="00832A32"/>
    <w:rsid w:val="00833308"/>
    <w:rsid w:val="008336F1"/>
    <w:rsid w:val="0083619A"/>
    <w:rsid w:val="00841D6E"/>
    <w:rsid w:val="0084318A"/>
    <w:rsid w:val="008460D9"/>
    <w:rsid w:val="008477ED"/>
    <w:rsid w:val="00851975"/>
    <w:rsid w:val="008560FF"/>
    <w:rsid w:val="00864D95"/>
    <w:rsid w:val="00865E5D"/>
    <w:rsid w:val="00877603"/>
    <w:rsid w:val="00880612"/>
    <w:rsid w:val="008916D3"/>
    <w:rsid w:val="00891933"/>
    <w:rsid w:val="00893A47"/>
    <w:rsid w:val="008A5C61"/>
    <w:rsid w:val="008D2ACE"/>
    <w:rsid w:val="008E417D"/>
    <w:rsid w:val="00906C0E"/>
    <w:rsid w:val="00911846"/>
    <w:rsid w:val="0092495F"/>
    <w:rsid w:val="0092739B"/>
    <w:rsid w:val="009346A8"/>
    <w:rsid w:val="009501EF"/>
    <w:rsid w:val="00955B28"/>
    <w:rsid w:val="00962C21"/>
    <w:rsid w:val="00983F91"/>
    <w:rsid w:val="00996665"/>
    <w:rsid w:val="00997DCC"/>
    <w:rsid w:val="009A5A04"/>
    <w:rsid w:val="009A7143"/>
    <w:rsid w:val="009B0489"/>
    <w:rsid w:val="009C1F3B"/>
    <w:rsid w:val="009C37F2"/>
    <w:rsid w:val="009C48CD"/>
    <w:rsid w:val="009E2D38"/>
    <w:rsid w:val="009E7A02"/>
    <w:rsid w:val="00A11EA0"/>
    <w:rsid w:val="00A1315A"/>
    <w:rsid w:val="00A261B0"/>
    <w:rsid w:val="00A44B73"/>
    <w:rsid w:val="00A5611B"/>
    <w:rsid w:val="00A56FB9"/>
    <w:rsid w:val="00A63B8F"/>
    <w:rsid w:val="00A67A50"/>
    <w:rsid w:val="00A75223"/>
    <w:rsid w:val="00A76496"/>
    <w:rsid w:val="00A814DD"/>
    <w:rsid w:val="00A85A4C"/>
    <w:rsid w:val="00A8771C"/>
    <w:rsid w:val="00A90F8A"/>
    <w:rsid w:val="00AB22FA"/>
    <w:rsid w:val="00AB76EF"/>
    <w:rsid w:val="00AD4F5D"/>
    <w:rsid w:val="00AE2BDB"/>
    <w:rsid w:val="00AF11CF"/>
    <w:rsid w:val="00B216F8"/>
    <w:rsid w:val="00B256F2"/>
    <w:rsid w:val="00B32FB8"/>
    <w:rsid w:val="00B40889"/>
    <w:rsid w:val="00B408FA"/>
    <w:rsid w:val="00B50C20"/>
    <w:rsid w:val="00B50D96"/>
    <w:rsid w:val="00B57CAA"/>
    <w:rsid w:val="00B74C88"/>
    <w:rsid w:val="00B74CA2"/>
    <w:rsid w:val="00B7799B"/>
    <w:rsid w:val="00B918F2"/>
    <w:rsid w:val="00BA10A4"/>
    <w:rsid w:val="00BA1539"/>
    <w:rsid w:val="00BB255A"/>
    <w:rsid w:val="00BB4AE3"/>
    <w:rsid w:val="00BB7B24"/>
    <w:rsid w:val="00BC2BC8"/>
    <w:rsid w:val="00BC2C2A"/>
    <w:rsid w:val="00BC3871"/>
    <w:rsid w:val="00BC6848"/>
    <w:rsid w:val="00BD0D05"/>
    <w:rsid w:val="00BD4852"/>
    <w:rsid w:val="00BD4FBC"/>
    <w:rsid w:val="00BE68F1"/>
    <w:rsid w:val="00BF14A5"/>
    <w:rsid w:val="00BF3634"/>
    <w:rsid w:val="00BF799A"/>
    <w:rsid w:val="00C058D5"/>
    <w:rsid w:val="00C24E3E"/>
    <w:rsid w:val="00C275B8"/>
    <w:rsid w:val="00C41E16"/>
    <w:rsid w:val="00C51DCC"/>
    <w:rsid w:val="00C5716C"/>
    <w:rsid w:val="00C57511"/>
    <w:rsid w:val="00C77189"/>
    <w:rsid w:val="00C80A4A"/>
    <w:rsid w:val="00CA2CC7"/>
    <w:rsid w:val="00CA65A0"/>
    <w:rsid w:val="00CB39CA"/>
    <w:rsid w:val="00CC5792"/>
    <w:rsid w:val="00CE5D5E"/>
    <w:rsid w:val="00CF34BE"/>
    <w:rsid w:val="00D00C56"/>
    <w:rsid w:val="00D056DD"/>
    <w:rsid w:val="00D1209C"/>
    <w:rsid w:val="00D163F5"/>
    <w:rsid w:val="00D219A3"/>
    <w:rsid w:val="00D21A01"/>
    <w:rsid w:val="00D23643"/>
    <w:rsid w:val="00D26D65"/>
    <w:rsid w:val="00D341AB"/>
    <w:rsid w:val="00D52467"/>
    <w:rsid w:val="00D60788"/>
    <w:rsid w:val="00D62453"/>
    <w:rsid w:val="00D64AB5"/>
    <w:rsid w:val="00D661A8"/>
    <w:rsid w:val="00D72D82"/>
    <w:rsid w:val="00D920A7"/>
    <w:rsid w:val="00D9267E"/>
    <w:rsid w:val="00D93C76"/>
    <w:rsid w:val="00D95E74"/>
    <w:rsid w:val="00D971B6"/>
    <w:rsid w:val="00DA0248"/>
    <w:rsid w:val="00DA12A0"/>
    <w:rsid w:val="00DA50A0"/>
    <w:rsid w:val="00DB1145"/>
    <w:rsid w:val="00DB1198"/>
    <w:rsid w:val="00DC7F51"/>
    <w:rsid w:val="00DD3324"/>
    <w:rsid w:val="00DD7BA6"/>
    <w:rsid w:val="00DE28E6"/>
    <w:rsid w:val="00DE7F4F"/>
    <w:rsid w:val="00DF15A4"/>
    <w:rsid w:val="00DF5C11"/>
    <w:rsid w:val="00E0032D"/>
    <w:rsid w:val="00E07195"/>
    <w:rsid w:val="00E2548C"/>
    <w:rsid w:val="00E40D10"/>
    <w:rsid w:val="00E42442"/>
    <w:rsid w:val="00E57BF1"/>
    <w:rsid w:val="00E736FC"/>
    <w:rsid w:val="00E76131"/>
    <w:rsid w:val="00E825B7"/>
    <w:rsid w:val="00E864F0"/>
    <w:rsid w:val="00EA15F1"/>
    <w:rsid w:val="00EA18DE"/>
    <w:rsid w:val="00EA3240"/>
    <w:rsid w:val="00EA4244"/>
    <w:rsid w:val="00EB1D87"/>
    <w:rsid w:val="00EB68DB"/>
    <w:rsid w:val="00EC5B27"/>
    <w:rsid w:val="00EE276F"/>
    <w:rsid w:val="00EE333C"/>
    <w:rsid w:val="00EF077C"/>
    <w:rsid w:val="00EF7FEE"/>
    <w:rsid w:val="00F0103F"/>
    <w:rsid w:val="00F0188C"/>
    <w:rsid w:val="00F11765"/>
    <w:rsid w:val="00F11846"/>
    <w:rsid w:val="00F34200"/>
    <w:rsid w:val="00F3661D"/>
    <w:rsid w:val="00F37BC8"/>
    <w:rsid w:val="00F5519B"/>
    <w:rsid w:val="00F57B0C"/>
    <w:rsid w:val="00F60B0D"/>
    <w:rsid w:val="00F87BCB"/>
    <w:rsid w:val="00F90826"/>
    <w:rsid w:val="00FA47B2"/>
    <w:rsid w:val="00FB52CC"/>
    <w:rsid w:val="00FC314E"/>
    <w:rsid w:val="00FC47BC"/>
    <w:rsid w:val="00FC4A93"/>
    <w:rsid w:val="00FD08E7"/>
    <w:rsid w:val="00FD422C"/>
    <w:rsid w:val="00FD4626"/>
    <w:rsid w:val="00FE2CEC"/>
    <w:rsid w:val="00FF0F7C"/>
    <w:rsid w:val="00FF18E5"/>
    <w:rsid w:val="00FF79C6"/>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874D7"/>
    <w:rPr>
      <w:rFonts w:ascii="Tahoma" w:hAnsi="Tahoma" w:cs="Tahoma"/>
      <w:sz w:val="16"/>
      <w:szCs w:val="16"/>
    </w:rPr>
  </w:style>
  <w:style w:type="character" w:customStyle="1" w:styleId="TextodegloboCar">
    <w:name w:val="Texto de globo Car"/>
    <w:basedOn w:val="Fuentedeprrafopredeter"/>
    <w:link w:val="Textodeglobo"/>
    <w:uiPriority w:val="99"/>
    <w:semiHidden/>
    <w:rsid w:val="003874D7"/>
    <w:rPr>
      <w:rFonts w:ascii="Tahoma" w:eastAsia="Times New Roman" w:hAnsi="Tahoma" w:cs="Tahoma"/>
      <w:sz w:val="16"/>
      <w:szCs w:val="16"/>
    </w:rPr>
  </w:style>
  <w:style w:type="character" w:styleId="Hipervnculo">
    <w:name w:val="Hyperlink"/>
    <w:basedOn w:val="Fuentedeprrafopredeter"/>
    <w:uiPriority w:val="99"/>
    <w:unhideWhenUsed/>
    <w:rsid w:val="007B4F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54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95773-0360-4135-B5E2-F2BA2072B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425</Words>
  <Characters>2341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jvinueza</cp:lastModifiedBy>
  <cp:revision>8</cp:revision>
  <dcterms:created xsi:type="dcterms:W3CDTF">2012-06-25T14:29:00Z</dcterms:created>
  <dcterms:modified xsi:type="dcterms:W3CDTF">2012-06-27T21:52:00Z</dcterms:modified>
</cp:coreProperties>
</file>